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17440-П/2008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Георгия Андреевича на нарушение его конституционных прав решением органа, осуществляющего пенсионное обеспечение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Г.А.Андреева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Г.А.Андреевым материалы, не находит оснований для принятия его жалобы к рассмотрению, поскольку заявитель не оспаривает конституционность конкретного закона, примененного или подлежащего применению в его деле. Осуществление же контроля за действиями правоприменителей (в данном случае органа, осуществляющего пенсионное обеспечение), в том числе проверка законности и обоснованности принимаемых ими решений, правильности применения и истолкования законов при разрешении конкретных дел, входит в компетенцию судов общей юрисдикции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Георгия Андреевича, поскольку разрешение поставленного в ней вопроса Конституционному Суду Российской Федерации неподведомственно.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