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16665-П/2007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Бурдейного Романа Анатольевича на нарушение его конституционных прав действиями и решениями судов общей юрисдикции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С.П.Маврина, Н.В.Мельникова, Н.В.Селезнева, А.Я.Сливы, В.Г.Стрекозова, О.С.Хохряковой, В.Г.Ярославцева, рассмотрев по требованию гражданина Р.А.Бурдейного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жалобы Р.А.Бурдейного к рассмотрению, поскольку разрешение затронутых в ней вопросов фактически сводится к оценке законности и обоснованности принятых по уголовному делу заявителя правоприменительных решений, что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Бурдейного Романа Анатольевича,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