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20227-П/2009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Балакина Виктора Семеновича на нарушение его конституционных прав статьей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В.С.Балакина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надзорной инстанции отменил судебные постановления по делам, вынесенным по искам ряда граждан к ООО «Газета «Орловский Вестник» о возмещении морального вреда, и направил данные дела на новое рассмотрение.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следует из этих материалов, заявитель считает свои конституционные права нарушенными вследствие применения при рассмотрении его дела статьи 387 ГПК Российской Федерации, которая позволила суду надзорной инстанции отменить в порядке надзора судебное постановление, не указанное в надзорной жалобе. Между тем оспариваемое законоположение не регулирует вопросы полномочий суда надзорной инстанции по итогам рассмотрения дела в порядке надзора. Кроме того, в соответствии с частью первой1 статьи 390 ГПК Российской Федерации суд надзорной инстанции даже в случае выхода в интересах законности за пределы доводов надзорной жалобы не вправе проверять законность судебных постановлений, которые не обжалуются. Проверка же законности и обоснованности вынесенного по конкретному делу постановления суда надзорной инстанции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Балакина Виктора Семеновича,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