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113194-П/2012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Кружевниковой Любови Викторовны на нарушение ее конституционных прав статьей 177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Л.В.Кружевниковой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неконституционность оспариваемой нормы заявительница обосновывает, выражая свое несогласие с одним из аргументов, изложенных в решении суда кассационной инстанции, оставившего без изменения постановление районного суда об отказе в удовлетворении жалобы Л.В.Кружевниковой на отказ в возбуждении уголовного дела, и тем самым фактически предлагает Конституционному Суду Российской Федерации дать оценку не норме закона, а правоприменительному решению в соответствующей его части, что к компетенции Конституционного Суда Российской Федерации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Кружевниковой Любови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