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111865-П/2012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Саитовой Рамили Хамитьяновны на нарушение ее конституционных прав статьями 125 и 381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Р.Х.Саитовой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Р.Х.Саитовой материалы, не находит оснований для принятия ее жалобы к рассмотрению. В нарушение требований статей 96 и 97 Федерального конституционного закона «О Конституционном Суде Российской Федерации» заявительницей не подтверждено применение в ее деле положений статьи 125 УПК Российской Федерации в указанном ею аспекте. Как следует из жалобы, заявительница не приводит правового обоснования нарушения своих прав содержащимися в оспариваемых статьях нормами, а излагает свою версию обстоятельств своего дела и, по сути, предлагает Конституционному Суду Российской Федерации оценить законность и обоснованность правоприменительных решений, а также внести целесообразные, с ее точки зрения, изменения и дополнения в действующее законодательство, что не относится к компетенции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Саитовой Рамили Хамитьяновны,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