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85799-П/2011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Рафикова Марселя Мухаметовича на нарушение его конституционных прав частью третьей статьи 29, статьями 90 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М.М.Рафикова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М.М.Рафиковым материалы, не находит оснований для принятия его жалобы к рассмотрению. Как следует из жалобы, заявитель аргументирует свою позицию о неконституционности части третьей статьи 29, статей 90 и 125 УПК Российской Федерации ссылками на фактические обстоятельства своего дела и тем самым, по сути, предлагает Конституционному Суду Российской Федерации оценить эти обстоятельства. Однако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Рафикова Марселя Мухаметовича,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