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spacing w:after="80"/>
        <w:jc w:val="center"/>
      </w:pPr>
      <w:r>
        <w:rPr>
          <w:rFonts w:ascii="Times New Roman" w:hAnsi="Times New Roman" w:eastAsia="Times New Roman" w:cs="Times New Roman"/>
          <w:b/>
          <w:i w:val="0"/>
          <w:sz w:val="24"/>
        </w:rPr>
        <w:t>№ 304</w:t>
      </w:r>
    </w:p>
    <w:p>
      <w:pPr>
        <w:spacing w:after="80"/>
        <w:jc w:val="center"/>
      </w:pPr>
      <w:r>
        <w:rPr>
          <w:rFonts w:ascii="Times New Roman" w:hAnsi="Times New Roman" w:eastAsia="Times New Roman" w:cs="Times New Roman"/>
          <w:b w:val="0"/>
          <w:i w:val="0"/>
          <w:sz w:val="22"/>
        </w:rPr>
        <w:t>город Санкт-Петербург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25. Правовой анализ</w:t>
      </w:r>
    </w:p>
    <w:p>
      <w:pPr>
        <w:spacing w:after="120" w:before="160"/>
        <w:ind w:firstLine="720"/>
        <w:jc w:val="both"/>
      </w:pPr>
      <w:r>
        <w:rPr>
          <w:rFonts w:ascii="Times New Roman" w:hAnsi="Times New Roman" w:eastAsia="Times New Roman" w:cs="Times New Roman"/>
          <w:b/>
          <w:i w:val="0"/>
          <w:sz w:val="22"/>
        </w:rPr>
        <w:t xml:space="preserve">25. </w:t>
      </w:r>
      <w:r>
        <w:rPr>
          <w:rFonts w:ascii="Times New Roman" w:hAnsi="Times New Roman" w:eastAsia="Times New Roman" w:cs="Times New Roman"/>
          <w:b w:val="0"/>
          <w:i w:val="0"/>
          <w:sz w:val="22"/>
        </w:rPr>
        <w:t>В соответствии с постановлением Правительства Омской области от 4 июня 2005 г. № 74-п «Об отдельных функциях казенного учреждения Омской области «Центр учета и содержания собственности Омской области», КУ «ЦУС» осуществляет от имени Омской области функции уполномоченной организации в сфере управления казенным имуществом Омской области в порядке, определенном Правительством Омской области. Истцом произведены начисления за содержание указанных жилых помещений. Ссылаясь на то, что лицом, на которое возложена обязанность по содержанию вышеуказанного имущества, является КУ «ЦУС», которое добровольно не погасило задолженность и пени, образовавшиеся с 2020 года, истец обратился с настоящим иском в суд, не получив удовлетворения своих требований в досудебном порядке. При этом общество «Сибирский город +» настаивало на требованиях именно к КУ «ЦУС». Отказывая в удовлетворении исковых требований, суд первой инстанции, руководствуясь статьей 47 АПК РФ, статьями 210, 296 Гражданского кодекса Российской Федерации (далее – ГК РФ), статьями 30, 60, 67, 153, 155, 158 Жилищного кодекса Российской Федерации (далее – ЖК РФ), а также разъяснениями, приведенными в Обзоре судебной практики Верховного Суда Российской Федерации № 2 (2015), утвержденном Президиумом Верховного Суда Российской Федерации 26 июня 2015 г. (вопрос № 4), исходил из того, что требования предъявлены к ненадлежащему ответчику, в спорный период жилые помещения переданы нанимателям по договорам социального найма, в связи с чем обязанность по внесению платы за их содержание должна быть возложена на нанимателей. Суд апелляционной инстанций, с которым согласился окружной суд, проанализировав условия договоров управления спорными МКД, руководствуясь статьями 125, 210, 214, 249, 290, 330, 431, 678 ГК РФ, статьями 19, 39, 60, 67, 92, 100, 153, 154, 155, 158, 161, 162 ЖК РФ, Правилами содержания общего имущества в многоквартирном доме, утвержденными постановлением Правительства Российской Федерации от 13 августа 2006 г.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правовыми позициями, изложенными в определении Конституционного Суда Российской Федерации от 26 марта 2020 г. № 606-О, определениях Верховного Суда Российской Федерации от 19 октября 2016 г. № 305-ЭС16-8324, от 27 декабря 2016 г. № 310-ЭС16-12554, от 29 июня 2016 г. № 305-ЭС16-2863, пришел к выводу о наличии оснований для взыскания с КУ «ЦУС» платы за содержание жилых помещений, относящихся к специализированному жилому фонду, исключив из расчета пени период действия моратория. Судами указано, что обязанность по внесению платы за содержание жилых помещений, относящихся к специализированному жилому фонду, возлагается на КУ «ЦУС», а наниматели жилых помещений специализированного жилищного фонда не относятся ни к одной категории из перечисленных в части 2 статьи 153 ЖК РФ (в частности, не могут быть признаны нанимателями жилого помещения по договору найма жилого помещения государственного или муниципального жилищного фонда). Исходя из положений договоров управления, управляющая организация обязана требовать платы от собственника в случае не поступления платы от нанимателей в установленные законодательством и договором сроки (пункты 3.1.5, 3.1.6, 3.3.1 договоров). Доводы кассационных жалоб не свидетельствуют о допущенных судами существенных нарушениях норм материального и процессуального права, которые бы служили достаточным основанием в силу части 1 статьи 291.11 АПК РФ к отмене обжалуемых судебных актов, поскольку не позволяют сделать вывод о том, что при рассмотрении дела допущены нарушения норм материального права и (или) норм процессуального права, приведшие к судебной ошибке существенного и непреодолимого характера, связаны с иной оценкой заявителями обстоятельств спора и как следствие иным применением им норм права вопреки установленным судами обстоятельствам. С учетом изложенного и руководствуясь статьей 291.6 АПК РФ, суд</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