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304</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232. Правовой анализ</w:t>
      </w:r>
    </w:p>
    <w:p>
      <w:pPr>
        <w:spacing w:after="120" w:before="160"/>
        <w:ind w:firstLine="720"/>
        <w:jc w:val="both"/>
      </w:pPr>
      <w:r>
        <w:rPr>
          <w:rFonts w:ascii="Times New Roman" w:hAnsi="Times New Roman" w:eastAsia="Times New Roman" w:cs="Times New Roman"/>
          <w:b/>
          <w:i w:val="0"/>
          <w:sz w:val="22"/>
        </w:rPr>
        <w:t xml:space="preserve">232. </w:t>
      </w:r>
      <w:r>
        <w:rPr>
          <w:rFonts w:ascii="Times New Roman" w:hAnsi="Times New Roman" w:eastAsia="Times New Roman" w:cs="Times New Roman"/>
          <w:b w:val="0"/>
          <w:i w:val="0"/>
          <w:sz w:val="22"/>
        </w:rPr>
        <w:t>Пермский край», в объем которого входят работы по очистке от зеленых насаждений территории строительства объекта, относящейся к муниципальным землям Чернушинского городского округа и Октябрьского городского округа. После заключения указанного договора истец 8 ноября 2022 г. по электронной почте также получил от ответчика проект основного договора от 7 декабря 2022 г. № ДМ12-2022-1977/168415/П. Письмом от 9 ноября 2022 г. истец в рамках основного договора от 7 ноября 2022 г. передал АО «Стройтрансгаз» комплект документов, подтверждающих выполнение работ по данному договору, в том числе договор от 7 ноября 2022 г. № ДМ12-2022-1977/168415/П, исполнительные схемы, акты передач участков под производство работ, КС-2, комплект чек-листов. Согласно отметке общества указанные документы получены ответчиком 10 ноября 2022 г. Ссылаясь на то, что основной договор со стороны АО «Стройтрансгаз» не был подписан, истец обратился с настоящим иском в суд, не получив удовлетворения своих требований в досудебном порядке. Встречный иск мотивирован тем, что предварительный договор у ответчика отсутствует и им не заключался. Исследовав и оценив по правилам статьи 71 АПК РФ представленные доказательства, в том числе условия предварительного договора, содержащие обязательство сторон заключить в будущем основной договор подряда, проект основного договора, переписку сторон, нотариальные протоколы осмотра доказательств от 27 мая 2024 г., от 29 мая 2024 г., от 12 июня 2024 г., руководствуясь статьями 309, 310, 429, 432, 445 ГК РФ, а также разъяснениями, приведенными в пунктах 6, 25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суды пришли к выводу об удовлетворении иска, исходя из заключенности и действительности предварительного договора, согласования его существенных условий, наступления срока для заключения основного договора, наличия доказательств своевременного направления предложения ООО «Лесные технологии» в адрес АО «Стройтрансгаз» о заключении основного договора, уклонения ответчика от его заключения на условиях, предусмотренных предварительным договором. При этом суды установили, что заключение предварительного договора и его исполнение подтверждено, в том числе конклюдентными действиями сторон. Доводы кассационной жалобы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поскольку не позволяют сделать вывод о том, что при рассмотрении дела допущены нарушения норм материального права и (или) норм процессуального права, приведшие к судебной ошибке существенного и непреодолимого характера, связаны с иной оценкой заявителем обстоятельств спора и как следствие иным применением им норм права вопреки установленным судами обстоятельствам. С учетом изложенного и руководствуясь статьей 291.6 АПК РФ,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