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18210803020011050110. Правовой анализ</w:t>
      </w:r>
    </w:p>
    <w:p>
      <w:pPr>
        <w:spacing w:after="120" w:before="160"/>
        <w:ind w:firstLine="720"/>
        <w:jc w:val="both"/>
      </w:pPr>
      <w:r>
        <w:rPr>
          <w:rFonts w:ascii="Times New Roman" w:hAnsi="Times New Roman" w:eastAsia="Times New Roman" w:cs="Times New Roman"/>
          <w:b/>
          <w:i w:val="0"/>
          <w:sz w:val="22"/>
        </w:rPr>
        <w:t xml:space="preserve">18210803020011050110. </w:t>
      </w:r>
      <w:r>
        <w:rPr>
          <w:rFonts w:ascii="Times New Roman" w:hAnsi="Times New Roman" w:eastAsia="Times New Roman" w:cs="Times New Roman"/>
          <w:b w:val="0"/>
          <w:i w:val="0"/>
          <w:sz w:val="22"/>
        </w:rPr>
        <w:t>Приложенные заявителем платежные документы об уплате государственной пошлины по иным реквизитам (коду бюджетной классификации) могут быть зачтены в уплату государственной пошлины за подачу кассационной жалобы в Верховный Суд Российской Федерации при наличии на них отметки кредитной организации о списании суммы со счета либо об исполнении, а также при наличии ходатайства о зачете с приложением справки либо копии судебного акта о возврате пошлины из бюджета. Рассмотрев заявление и представленные в его обоснование документы, суд приходит к выводу об отсутствии оснований для его удовлетворения, поскольку оригиналы документов, необходимых для зачета государственной пошлины (решения, определения и справки судов, органов и (или) должностных лиц, осуществляющих действия, за которые уплачивается государственная пошлина, об обстоятельствах, являющихся основанием для полного возврата государственной пошлины) заявителем в Верховный Суд Российской Федерации не представлены. Поскольку ходатайство заявителя не может быть удовлетворено, кассационная жалоба подлежит возвращению без рассмотрения по существу на основании статьи 2915 Арбитражного процессуального кодекса Российской Федерации. Руководствуясь статьями 102, 184, 2913 Арбитражного процессуального кодекса Российской Федерации, статьей 33340 Налогового кодекса Российской Федерации, судья Верховного Суда Российской Федерации определил: отказать Ковшу Артему Михайловичу в удовлетворении ходатайства о зачете государственной пошлины за подачу кассационной жалобы. Кассационную жалобу на решение Арбитражного суда города Москвы от 17 июня 2024 г., постановление Девятого арбитражного апелляционного суда от 11 сентября 2024 г. и постановление Арбитражного суда Московского округа от 10 января 2025 г. по делу № А40-289627/2023 возвратить без рассмотрения по существу. Судья Верховного Суда Российской Федерации А.А. Якимов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