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-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2022.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2022.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Полагает, что суды сделали неверный вывод о признании Компанией исковых требований путем взаимной переписки с истцом, поскольку в суде ответчик оспаривал право истца требовать возмещения убытков и просил суд отказать в удовлетворении иска. В частности, ответчик был не согласен с размером исковых требований и просил назначить судебную экспертизу. По мнению заявителя, суды неправомерно отказали в удовлетворении ходатайства ответчика о назначении по делу судебной экспертизы, поскольку Компания оспаривала размер определенных истцом убытков. В частности, неправильно определен реальный объем потерь запасов; реальные убытки (расходы на оформление участка недр и получении лицензии, с созданием инфраструктуры и др.) относятся к первоначальным инвестициям и уже учтены в отчете об оценке от 10 августа 2022 г. № Н-22-210221. Дополнительный учет данных расходов приводит к двойному взысканию стоимости возмещения. При этом взыскиваемый размер возмещения расходов Общества на списание запасов под площадью застройки автомобильной дороги М-12 не подтвержден документально. Приведенные в жалобе Компании доводы о существенном нарушении судами трех инстанций норм материального права, которые повлияли на исход настоящего дела, заслуживают внимания, в связи с чем жалобу с делом следует передать для рассмотрения в судебном заседании Судебной коллегии по экономическим спорам Верховного Суда Российской Федерации. Учитывая изложенное и руководствуясь статьей 184, пунктом 2 части 7 статьи 2916, статьей 2919 Арбитражного процессуального кодекса Российской Федерации, судья Верховного Суда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