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кассационной жалобе, поданной в Верховный Суд Российской Федерации, заявитель, ссылаясь на нарушение окружным судом норм материального и процессуального права, просит пересмотреть в кассационном порядке указанный судебный акт. По смыслу части 1 статьи 2911, части 7 статьи 2916, статьи 29111 Арбитражного процессуального кодекса Российской Федерации (далее – АПК РФ) кассационная жалоба подлежит передаче для рассмотрения в судебном заседании Судебной коллегии Верховного Суда Российской Федерации, если изложенные в ней доводы подтверждают наличие существенных нарушений судами норм материального права и (или) норм процессуального права, повлиявших на исход дела,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деятельности. Окружной суд, действуя в пределах полномочий, установленных статьями 286 и 287 АПК РФ, не принимая судебного акта по существу спора, отменил судебные акты судов первой и апелляционной инстанций и направил дело на новое рассмотрение в суд первой инстанции, указав суду на необходимость установить все обстоятельства, имеющие существенное значение для правильного разрешения спора. 2 Поскольку приведенные в кассационной жалобе доводы не опровергают выводы суда округа, не подтверждают существенных нарушений судом норм материального и (или) процессуального права, повлиявших на исход дела, учитывая, что по правилам статьи 41 АПК РФ при новом рассмотрении дела заявитель вправе приводить доводы и возражения по всем возникающим в ходе рассмотрения дела вопросам и представлять доказательства, не имеется предусмотренных статьями 2916 и 29111 указанного Кодекса оснований для передачи жалобы для рассмотрения в судебном заседании Судебной коллегии по экономическим спорам Верховного Суда Российской Федерации. Учитывая изложенное и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обществу с ограниченной ответственностью «ЭкоРегионСервис»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И.Л. Грачева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