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обществу с ограниченной ответственностью «Альянс МТ»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М.В. Пронина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