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обжалуемого судебного акта,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В соответствии со статьей 41 Арбитражного процессуального кодекса Российской Федерации заявитель при новом рассмотрении дела имеет право приводить свои доводы по всем возникающим в ходе рассмотрения дела вопросам, представлять соответствующие доказательства и иным образом обосновывать свою позицию. Руководствуясь статьями 2916, 2918 Арбитражного процессуального кодекса Российской Федерации, судья Верховного Суда Российской Федерации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Главному управлению Федеральной службы судебных приставов по Московской области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