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determination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ноября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доводы кассационной жалобы не подтверждают наличие оснований, предусмотренных статьями 2916, 29111 Арбитражного процессуального кодекса Российской Федерации, для передачи жалобы для рассмотрения в судебном заседании Судебной коллегии Верховного Суда Российской Федерации и пересмотра обжалуемых судебных актов, поскольку не позволяют сделать вывод о том, что при рассмотрении дела допущены нарушения норм материального права и (или) норм процессуального права, приведшие к судебной ошибке существенного и непреодолимого характера. Руководствуясь статьями 2916, 2918 Арбитражного процессуального кодекса Российской Федерации, судья Верховного Суда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Министерству социальной политики Свердловской области в передаче кассационной жалобы для рассмотрения в судебном заседании Судебной коллегии по экономическим спорам Верховного Суда Российской Федерации. Судья Верховного Суда Российской Федерации М.В. Пронина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