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кассационной жалобе, поданной в Верховный Суд Российской Федерации, заявитель, ссылаясь на нарушение судами первой и кассационной инстанций норм материального и процессуального права, просит пересмотреть указанные судебные акты в кассационном порядке. По смыслу части 1 статьи 2911, части 7 статьи 2916, статьи 29111 Арбитражного процессуального кодекса Российской Федерации (далее – АПК РФ) кассационная жалоба подлежит передаче для рассмотрения в судебном заседании Судебной коллегии Верховного Суда Российской Федерации, если изложенные в ней доводы подтверждают наличие существенных нарушений судами норм материального права и (или) норм процессуального права, повлиявших на исход дела,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деятельности. Суд первой инстанции (с которым согласился окружной суд), исследовав и оценив представленные в материалы дела доказательства, правильно применив нормы гражданского и жилищного законодательства, 2 законодательства, регулирующего обращение с твердыми коммунальными отходами (далее – ТКО), приняв во внимание правовую позицию, приведенную в пунктах 26, 26.1 Обзора судебной практики по делам, связанным с обращением с твердыми коммунальными отходами, утвержденного Президиумом Верховного Суда Российской Федерации 13 декабря 2023 г, установив, что в соответствии с территориальной схемой муниципальное образование создало контейнерные площадки для накопления ТКО для многоквартирных домов, которыми управляет Общество, пришел к выводу о наличии у Общества обязанности по содержанию таких площадок. Суд округа исходил из существа требований, заявленных истцом, направленных на установление обязательства управляющей компании по содержанию указанных площадок для ТКО многоквартирных домов. Довод Общества о том, что спорные площадки используют также собственники многоквартирных домов, которыми ответчик не управляет, не может служить основанием для освобождения управляющей компании от выполнения установленной законом обязанности. Вопрос о пропорциональном распределении расходов с иными управляющими компаниями может быть разрешен в договорном порядке. Приведенные в кассационной жалобе доводы не опровергают выводы судов первой и кассационной инстанций, направлены на переоценку установленных по делу обстоятельств, не подтверждают существенных нарушений указанными судами норм материального и (или) процессуального права, повлиявших на исход дела, поэтому не имеется предусмотренных статьями 2916 и 29111 АПК РФ оснований для передачи жалобы для рассмотрения в судебном заседании Судебной коллегии по экономическим спорам Верховного Суда Российской Федерации. Учитывая изложенное и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«Компания «Управа»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И.Л. Грачева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