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кассационной жалобе, поданной в Верховный Суд Российской Федерации, заявитель, ссылаясь на нарушение судами первой и кассационной инстанций норм материального и процессуального права, просит пересмотреть указанные судебные акты в кассационном порядке. По смыслу части 1 статьи 2911, части 7 статьи 2916, статьи 29111 Арбитражного процессуального кодекса Российской Федерации (далее – АПК РФ)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судами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Суд первой инстанции (с которым согласился окружной суд), исследовав и оценив представленные в материалы дела доказательства, правильно применив нормы гражданского и жилищного законодательства, установив 2 ненадлежащее исполнение Обществом (управляющей компанией), обязательства, по содержанию общего имущества многоквартирного дома, включающего, в том числе ответственность за безаварийное функционирование общедомовых систем и коммуникаций многоквартирного дома, пришел к выводу о наличии оснований для взыскания с него в пользу истца ущерба, причиненного в результате затопления помещения, принадлежащего истцу на праве хозяйственного ведения. Приведенные в кассационной жалобе доводы не опровергают выводы судов первой и кассационной инстанций, направлены на переоценку установленных по делу обстоятельств, не подтверждают существенных нарушений указанными судами норм материального и (или) процессуального права, повлиявших на исход дела, поэтому не имеется предусмотренных статьями 2916 и 29111 АПК РФ оснований для передачи жалобы для рассмотрения в судебном заседании Судебной коллегии по экономическим спорам Верховного Суда Российской Федерации. Учитывая изложенное и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обществу с ограниченной ответственностью «Управляющая компания» Жилищно-коммунальное обслуживание»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И.Л. Грачева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