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Красноярского края от 15 февраля 2024 г., оставленным без изменения постановлением Третьего арбитражного апелляционного суда от 16 мая 2024 г. и постановлением Арбитражного суда Восточно-Сибирского округа от 6 августа 2024 г., в удовлетворении заявления отказано. В кассационной жалобе Федорова М.С. просит об отмене судебных актов, ссылаясь на формальный отказ в удовлетворении требования без учета возможного увеличения периода проверки сделок. В силу части 1 статьи 291.11 Арбитражного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свобод, законных интересов в сфере предпринимательской и 2 иной экономической деятельности, а также защита охраняемых законом публичных интересов. Таких оснований в связи с доводами жалобы не усматривается. Суды установили отсутствие определенных практикой условий для проверки сделок за пределами оснований, предусмотренных статьей 61.2 Федерального закона от 26 октября 2002 г. № 127-ФЗ «О несостоятельности (банкротстве)» и общими нормами гражданского законодательства, признанных неприменимыми в рассматриваемом случае. Руководствуясь статьями 291.6, 291.8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финансовому управляющему Федоровой М.С.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Н.А. Ксенофонтова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