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статью 5 Федерального конституционного закона "О Государственном гербе Российской Федерации"</w:t>
      </w:r>
    </w:p>
    <w:p>
      <w:r>
        <w:rPr>
          <w:b/>
        </w:rPr>
        <w:t>Статья 1. Абзац пятый статьи 5 Федерального конституционного закона от 25 декабря 2000 года № 2-ФКЗ "О Государственном гербе Российской Федерации" (Собрание законодательства Российской Федерации, 2000, № 52, ст. 5021) дополнить словами ", законодательных (представительных) органов государственной власти субъектов Российской Федерации, высших исполнительных органов государственной власти субъектов Российской Федерации, судов субъектов Российской Федерации, а также в залах заседаний представительных органов местного самоуправления".</w:t>
      </w:r>
    </w:p>
    <w:p>
      <w:r>
        <w:t>Абзац пятый статьи 5 Федерального конституционного закона от 25 декабря 2000 года № 2-ФКЗ "О Государственном гербе Российской Федерации" (Собрание законодательства Российской Федерации, 2000, № 52, ст. 5021) дополнить словами ", законодательных (представительных) органов государственной власти субъектов Российской Федерации, высших исполнительных органов государственной власти субъектов Российской Федерации, судов субъектов Российской Федерации, а также в залах заседаний представительных органов местного самоуправления".</w:t>
      </w:r>
    </w:p>
    <w:p>
      <w:r>
        <w:rPr>
          <w:b/>
        </w:rPr>
        <w:t>Статья 2. Настоящий Федеральный конституционный закон вступает в силу со дня его официального опубликования.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