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изменения в Федеральный конституционный закон "О Государственном флаге Российской Федерации"</w:t>
      </w:r>
    </w:p>
    <w:p>
      <w:r>
        <w:rPr>
          <w:b/>
        </w:rPr>
        <w:t>Статья 1. О внесении изменения в Федеральный конституционный закон "О Государственном флаге Российской Федерации"</w:t>
      </w:r>
    </w:p>
    <w:p>
      <w:r>
        <w:t>Внести в Федеральный конституционный закон от 25 декабря 2000 года № 1-ФКЗ "О Государственном флаге Российской Федерации" (Собрание законодательства Российской Федерации, 2000, № 52, ст. 5020; 2002, № 28, ст. 2781, 2782; 2003, № 27, ст. 2697; 2005, № 10, ст. 753) изменение, дополнив его статьей 91 следующего содержания: "Статья 91. Официальное использование Государственного флага Российской Федерации осуществляется в случаях и в порядке, которые установлены настоящим Федеральным конституционным законом. Допускается использование Государственного флага Российской Федерации, в том числе его изображения, гражданами, общественными объединениями, предприятиями, учреждениями и организациями в иных случаях, если такое использование не является надругательством над Государственным флагом Российской Федерации.".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