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 и 14 Федерального конституционного закона "О судебной системе Российской Федерации" и статьи 21 и 22 Федерального конституционного закона "О судах общей юрисдикции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1; 2001, № 51, ст. 4825; 2003, № 27, ст. 2698; 2005, № 15, ст. 1274; 2011, № 50, ст. 7334) следующие изменения</w:t>
      </w:r>
    </w:p>
    <w:p>
      <w:r>
        <w:t>часть 3 статьи 13 дополнить словами ", если иное не установлено соответствующим федеральным конституционным законом"</w:t>
      </w:r>
    </w:p>
    <w:p>
      <w:r>
        <w:t>статью 14 дополнить словами ", если иное не установлено соответствующим федеральным конституционным законом"</w:t>
      </w:r>
    </w:p>
    <w:p>
      <w:r>
        <w:rPr>
          <w:b/>
        </w:rPr>
        <w:t>Статья 2</w:t>
      </w:r>
    </w:p>
    <w:p>
      <w:r>
        <w:t>(Утратила силу - Федеральный конституционный закон от 12.03.2014 № 5-ФКЗ)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