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4203) изменения, дополнив ее частями 3 и 4 следующего содержания: "3. На территории Республики Крым и территории города федерального значения Севастополя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решений, являющихся основанием для внесения данных изменений, в целях приведения юридическими лицами,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учредительных документов в соответствие с законодательством Российской Федерации (при условии гарантирования прав всех участников (акционеров) таких юридических лиц) могут быть установлены нормативными правовыми актами Республики Крым и нормативными правовыми актами города федерального значения Севастополя, которые действуют до 1 января 2015 года.</w:t>
      </w:r>
    </w:p>
    <w:p>
      <w:r>
        <w:rPr>
          <w:b/>
        </w:rPr>
        <w:t xml:space="preserve">4. </w:t>
      </w:r>
      <w:r>
        <w:t>Юридические лица, имущество которых находится в собственности публично-правового образования или участником которых является публично-правовое образование 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марта 2015 года."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