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1) следующие изменения: 1) в части 1 слова "имущественных, градостроительных, земельных и" и слова ", а также отношений в сфере кадастрового учета недвижимости и государственной регистрации прав на недвижимое имущество и сделок с ним" исключить; 2) дополнить частями 11 и 12 следующего содержания: "11. До 1 января 2023 года на территориях Республики Крым и города федерального значения Севастополя особенности регулирования имущественных и земельных отношений, а также отношений в сфере кадастрового учета недвижимости и государственной регистрации прав на недвижимое имущество и сделок с ним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власти, уполномоченным на осуществление нормативно-правового регулирования в соответствующей сфере.</w:t>
      </w:r>
    </w:p>
    <w:p>
      <w:r>
        <w:rPr>
          <w:b/>
        </w:rPr>
        <w:t xml:space="preserve">12. </w:t>
      </w:r>
      <w:r>
        <w:t>До 31 декабря 2020 года на территориях Республики Крым и города федерального значения Севастополя особенности регулирования градостроительных отношений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власти, уполномоченным на осуществление нормативно-правового регулирования в соответствующей сфере."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