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отдельные законы Российской Федерации о налогах и об особенностях порядка отчислений в отдельные государственные внебюджетные фонды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 о налогах:</w:t>
      </w:r>
    </w:p>
    <w:p>
      <w:r>
        <w:rPr>
          <w:b/>
        </w:rPr>
        <w:t xml:space="preserve">1. </w:t>
      </w:r>
      <w:r>
        <w:t>(Утратил силу - Федеральный закон от 05.08.2000 № 118-ФЗ)</w:t>
      </w:r>
    </w:p>
    <w:p>
      <w:r>
        <w:rPr>
          <w:b/>
        </w:rPr>
        <w:t xml:space="preserve">2. </w:t>
      </w:r>
      <w:r>
        <w:t>(Утратил силу - Федеральный закон от 06.08.2001 № 110-ФЗ)</w:t>
      </w:r>
    </w:p>
    <w:p>
      <w:r>
        <w:rPr>
          <w:b/>
        </w:rPr>
        <w:t>Статья 2. Страховые взносы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фонды обязательного медицинского страхования не начисляются на:</w:t>
      </w:r>
    </w:p>
    <w:p>
      <w:r>
        <w:t>средства избирательных фондов кандидатов в депутаты федеральных органов государственной власти, представительных и исполнительных органов государственной власти субъектов Российской Федерации и органов местного самоуправления, полученные и израсходованные на проведение избирательных кампаний, а также учтенные в установленном порядке; доходы,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основе; 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кампаний.</w:t>
      </w:r>
    </w:p>
    <w:p>
      <w:r>
        <w:rPr>
          <w:b/>
        </w:rPr>
        <w:t>Статья 3. Настоящий Федеральный закон применяется к отношениям, возникшим с 1 января 1994 года при проведении избирательных кампаний в Федеральное Собрание Российской Федерации, представительные и исполнительные органы государственной власти субъектов Российской Федерации, органы местного самоуправления.</w:t>
      </w:r>
    </w:p>
    <w:p>
      <w:r>
        <w:t>При этом абзацы предпоследний и последний пункта 1 и пункта 2 статьи 1 настоящего Федерального закона применяются только к отношениям, возникающим при проведении выборов по замещению вакантных депутатских мандатов в Совете Федерации первого созыва и в Государственной Думе первого созыва, а также при проведении выборов представительных и исполнительных органов государственной власти субъектов Российской Федерации, органов местного самоуправления, впервые формируемых после принятия Конституции Российской Федерации 1993 года. 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