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Об утверждении схемы одномандатных избирательных округов для проведения выборов депутатов Государственной Думы Федерального Собрания Российской Федерации второго созыва</w:t>
      </w:r>
    </w:p>
    <w:p>
      <w:r>
        <w:rPr>
          <w:b/>
        </w:rPr>
        <w:t>Статья 1. Утвердить схему одномандатных избирательных округов для проведения выборов депутатов Государственной Думы Федерального Собрания Российской Федерации второго созыва, представленную Центральной избирательной комиссией Российской Федерации (приложение № 1).</w:t>
      </w:r>
    </w:p>
    <w:p>
      <w:r>
        <w:t>Утвердить схему одномандатных избирательных округов для проведения выборов депутатов Государственной Думы Федерального Собрания Российской Федерации второго созыва, представленную Центральной избирательной комиссией Российской Федерации (приложение № 1).</w:t>
      </w:r>
    </w:p>
    <w:p>
      <w:r>
        <w:rPr>
          <w:b/>
        </w:rPr>
        <w:t>Статья 2. Утвердить предложения Центральной избирательной комиссии Российской Федерации о приписке избирателей, проживающих за пределами территории Российской Федерации или находящихся в длительных заграничных командировках, к одномандатным избирательным округам (приложение № 2).</w:t>
      </w:r>
    </w:p>
    <w:p>
      <w:r>
        <w:t>Утвердить предложения Центральной избирательной комиссии Российской Федерации о приписке избирателей, проживающих за пределами территории Российской Федерации или находящихся в длительных заграничных командировках, к одномандатным избирательным округам (приложение № 2).</w:t>
      </w:r>
    </w:p>
    <w:p>
      <w:r>
        <w:rPr>
          <w:b/>
        </w:rPr>
        <w:t>Статья 3. Настоящий Федеральный закон вступает в силу со дня его официального опубликования.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