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РСФСР "О налоге на операции с ценными бумагами"</w:t>
      </w:r>
    </w:p>
    <w:p>
      <w:r>
        <w:rPr>
          <w:b/>
        </w:rPr>
        <w:t>Статья 1. Внести изменения в Закон РСФСР "О налоге на операции с ценными бумагами" (Ведомости Съезда народных депутатов Российской Федерации и Верховного Совета Российской Федерации, 1992, N 11, ст. 523), изложив его в следующей редакции:</w:t>
      </w:r>
    </w:p>
    <w:p>
      <w:r>
        <w:t>"Закон Российской Федерации О налоге на операции с ценными бумагами</w:t>
      </w:r>
    </w:p>
    <w:p>
      <w:r>
        <w:t>Плательщиками налога на операции с ценными бумагами являются юридические лица - эмитенты ценных бумаг.</w:t>
      </w:r>
    </w:p>
    <w:p>
      <w:r>
        <w:rPr>
          <w:b/>
        </w:rPr>
        <w:t>Статья 1. Плательщики налога</w:t>
      </w:r>
    </w:p>
    <w:p>
      <w:r>
        <w:t>"Закон Российской Федерации О налоге на операции с ценными бумагами</w:t>
      </w:r>
    </w:p>
    <w:p>
      <w:r>
        <w:t>Плательщиками налога на операции с ценными бумагами являются юридические лица - эмитенты ценных бумаг.</w:t>
      </w:r>
    </w:p>
    <w:p>
      <w:r>
        <w:rPr>
          <w:b/>
        </w:rPr>
        <w:t>Статья 2. Объект налогообложения</w:t>
      </w:r>
    </w:p>
    <w:p>
      <w:r>
        <w:t>Объектом налогообложения в соответствии с настоящим Законом является номинальная сумма выпуска ценных бумаг, заявленная эмитентом. Объектом обложения данным видом налога не является: номинальная сумма выпуска ценных бумаг акционерных обществ, осуществляющих первичную эмиссию ценных бумаг; номинальная сумма выпуска ценных бумаг акционерных обществ, осуществляющих увеличение уставного капитала на величину переоценок основных фондов, производимых по решению Правительства Российской Федерации.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Налоговые ставки</w:t>
      </w:r>
    </w:p>
    <w:p>
      <w:r>
        <w:t>Налог на операции с ценными бумагами взимается в размере 0,8 процента номинальной суммы выпуска. В случае отказа в регистрации эмиссии налог не возвращается.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4. Исчисление суммы налога</w:t>
      </w:r>
    </w:p>
    <w:p>
      <w:r>
        <w:t>Плательщик исчисляет сумму налога самостоятельно, исходя из номинальной суммы выпуска и соответствующей налоговой ставки. Налог на операции с ценными бумагами, осуществленные в иностранной валюте, исчисляется в рублях в пересчете по курсу, устанавливаемому Центральным банком Российской Федерации и действующему на дату регистрации эмиссии.</w:t>
      </w:r>
    </w:p>
    <w:p>
      <w:r>
        <w:rPr>
          <w:b/>
        </w:rPr>
        <w:t>Статья 5. Порядок и сроки уплаты налога</w:t>
      </w:r>
    </w:p>
    <w:p>
      <w:r>
        <w:t>Сумма налога уплачивается плательщиком одновременно с представлением документов на регистрацию эмиссии и перечисляется в федеральный бюджет.</w:t>
      </w:r>
    </w:p>
    <w:p>
      <w:r>
        <w:rPr>
          <w:b/>
        </w:rPr>
        <w:t>Статья 6. Ответственность плательщиков налога</w:t>
      </w:r>
    </w:p>
    <w:p>
      <w:r>
        <w:t>Плательщики несут ответственность за правильность исчисления и своевременность уплаты налога в случаях и порядке, предусмотренных законодательными актами Российской Федерации. Контроль за полнотой и своевременностью уплаты налогов осуществляется налоговыми органами.".</w:t>
      </w:r>
    </w:p>
    <w:p>
      <w:r>
        <w:rPr>
          <w:b/>
        </w:rPr>
        <w:t>Статья 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Объектом налогообложения в соответствии с настоящим Законом является номинальная сумма выпуска ценных бумаг, заявленная эмитентом. Объектом обложения данным видом налога не является: номинальная сумма выпуска ценных бумаг акционерных обществ, осуществляющих первичную эмиссию ценных бумаг; номинальная сумма выпуска ценных бумаг акционерных обществ, осуществляющих увеличение уставного капитала на величину переоценок основных фондов, производимых по решению Правительства Российской Федерации.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Налог на операции с ценными бумагами взимается в размере 0,8 процента номинальной суммы выпуска. В случае отказа в регистрации эмиссии налог не возвращается.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