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дополнения в Закон Российской Федерации "О государственной пошлине"</w:t>
      </w:r>
    </w:p>
    <w:p>
      <w:r>
        <w:rPr>
          <w:b/>
        </w:rPr>
        <w:t>Статья 1. Дополнить пункт 2 статьи 5 Закона Российской Федерации "О государственной пошлине" (Ведомости Съезда народных депутатов Российской Федерации и Верховного Совета Российской Федерации, 1992, N 11, ст. 521; Собрание законодательства Российской Федерации, 1996, N 1, ст. 19) подпунктом 28 следующего содержания:</w:t>
      </w:r>
    </w:p>
    <w:p>
      <w:r>
        <w:t>"28) граждане - при подаче в суд заявлений об установлении усыновления (удочерения) ребенка.".</w:t>
      </w:r>
    </w:p>
    <w:p>
      <w:r>
        <w:rPr>
          <w:b/>
        </w:rPr>
        <w:t>Статья 2. Настоящий Федеральный закон вступает в силу по истечении 30 дней со дня его официального опубликования.</w:t>
      </w:r>
    </w:p>
    <w:p>
      <w:r>
        <w:t>Настоящий Федеральный закон вступает в силу по истечении 30 дней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