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1995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1995 год по следующим основным показателям:</w:t>
      </w:r>
    </w:p>
    <w:p>
      <w:r>
        <w:t>(млрд. рублей) 1203,1 15979,2 1589,5 28,0 17596,7 18799,8 10974,9 в том числе: 8895,0 1015,9 608,1 366,4 69,4 20,1 4900,8 173,0 529,9 в том числе: 119,2 334,4 80,7 16659,3 Кроме того: 799,0 17458,3 1341,5 в том числе: 874,0</w:t>
      </w:r>
    </w:p>
    <w:p>
      <w:r>
        <w:rPr>
          <w:b/>
        </w:rPr>
        <w:t>Статья 2. Правительству Российской Федерации внести в Государственную Думу Федерального Собрания Российской Федерации предложения о порядке и сроках возмещения Фонду из федерального бюджета задолженности, образовавшейся в 1995 году,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t>Правительству Российской Федерации внести в Государственную Думу Федерального Собрания Российской Федерации предложения о порядке и сроках возмещения Фонду из федерального бюджета задолженности, образовавшейся в 1995 году,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