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равном обращении и равных возможностях для трудящихся мужчин и женщин: трудящиеся с семейными обязанностями</w:t>
      </w:r>
    </w:p>
    <w:p>
      <w:r>
        <w:rPr>
          <w:b/>
        </w:rPr>
        <w:t>Статья None. Федеральный закон   от 30.10.1997 № 137-ФЗ</w:t>
      </w:r>
    </w:p>
    <w:p>
      <w:r>
        <w:t>О ратификации Конвенции о равном обращении и равных возможностях для трудящихся мужчин и женщин: трудящиеся с семейными обязанностями РОССИЙСКАЯ ФЕДЕРАЦИЯ ФЕДЕРАЛЬНЫЙ ЗАКОН О ратификации Конвенции о равном обращении и равных возможностях для трудящихся мужчин и женщин: трудящиеся с семейными обязанностями Принят Государственной Думой 10 октября 1997 года Одобрен Советом Федерации 15 октября 1997 года Ратифицировать Конвенцию о равном обращении и равных возможностях для трудящихся мужчин и женщин: трудящиеся с семейными обязанностями (Конвенция 156), принятую 67-й сессией Генеральной конференции Международной организации труда 23 июня 1981 года в городе Женеве. Президент Российской Федерации Б.Ельцин Москва, Кремль 30 октября 1997 года № 137-ФЗ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