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Семейный кодекс Российской Федерации</w:t>
      </w:r>
    </w:p>
    <w:p>
      <w:r>
        <w:rPr>
          <w:b/>
        </w:rPr>
        <w:t>Статья 1. В связи с принятием Федерального закона "Об актах гражданского состояния" внести в Семейный кодекс Российской Федерации (Собрание законодательства Российской Федерации, 1996, № 1, ст. 16) следующие изменения и дополнения:</w:t>
      </w:r>
    </w:p>
    <w:p>
      <w:r>
        <w:rPr>
          <w:b/>
        </w:rPr>
        <w:t xml:space="preserve">1. </w:t>
      </w:r>
      <w:r>
        <w:t>Абзац первый пункта 2 статьи 13 изложить в следующей редакции: "При наличии уважительных причин органы местного самоуправления по месту жительства лиц, желающих вступить в брак, вправе по просьбе данных лиц разрешить вступить в брак лицам, достигшим возраста шестнадцати лет."</w:t>
      </w:r>
    </w:p>
    <w:p>
      <w:r>
        <w:rPr>
          <w:b/>
        </w:rPr>
        <w:t xml:space="preserve">2. </w:t>
      </w:r>
      <w:r>
        <w:t>В статье 48: в пункте 1 слова "органом записи актов гражданского состояния" исключить; пункт 3 исключить; пункты 4 и 5 считать соответственно пунктами 3 и 4</w:t>
      </w:r>
    </w:p>
    <w:p>
      <w:r>
        <w:rPr>
          <w:b/>
        </w:rPr>
        <w:t xml:space="preserve">3. </w:t>
      </w:r>
      <w:r>
        <w:t>В пункте 1 статьи 59 слова "шестнадцати лет" заменить словами "четырнадцати лет"</w:t>
      </w:r>
    </w:p>
    <w:p>
      <w:r>
        <w:rPr>
          <w:b/>
        </w:rPr>
        <w:t xml:space="preserve">4. </w:t>
      </w:r>
      <w:r>
        <w:t>Статью 73 дополнить пунктом 6 следующего содержания: "6.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ребенка."</w:t>
      </w:r>
    </w:p>
    <w:p>
      <w:r>
        <w:rPr>
          <w:b/>
        </w:rPr>
        <w:t xml:space="preserve">5. </w:t>
      </w:r>
      <w:r>
        <w:t>Пункт 3 статьи 160 изложить в следующей редакции: "3.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гражданства,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органов, принимавших решения о расторжении брака, и подлежащем применению при расторжении брака законодательстве, признается действительным в Российской Федерации."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