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Евразийской патентной организацией о штаб-квартире Евразийской патентной организации</w:t>
      </w:r>
    </w:p>
    <w:p>
      <w:r>
        <w:rPr>
          <w:b/>
        </w:rPr>
        <w:t>Статья 1. Ратифицировать Соглашение между Правительством Российской Федерации и Евразийской патентной организацией о штаб-квартире Евразийской патентной организации, подписанное в городе Москве 4 октября 1996 года, со следующим заявлением:</w:t>
      </w:r>
    </w:p>
    <w:p>
      <w:r>
        <w:t>"Российская Федерация исходит из того понимания, что положения Соглашения между Правительством Российской Федерации и Евразийской патентной организацией о штаб-квартире Евразийской патентной организации не могут быть истолкованы как право Евразийской патентной организации осуществлять на территории Российской Федерации коммерческую деятельность, выходящую за пределы выполнения административных задач, связанных с функционированием Евразийской патентной системы и выдачей евразийских патентов".</w:t>
      </w:r>
    </w:p>
    <w:p>
      <w:r>
        <w:rPr>
          <w:b/>
        </w:rPr>
        <w:t>Статья 2. Настоящий Федеральный закон вступает в силу со дня его официального опубликования.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