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отдельные законодательные акты Российской Федерации в связи с принятием Федерального закона "О внутренних войсках Министерства внутренних дел Российской Федерации"</w:t>
      </w:r>
    </w:p>
    <w:p>
      <w:r>
        <w:rPr>
          <w:b/>
        </w:rPr>
        <w:t>Статья 1. В связи с принятием Федерального закона "О внутренних войсках Министерства внутренних дел Российской Федерации" (Собрание законодательства Российской Федерации, 1997, № 6, ст. 711) внести изменения и дополнения в следующие законодательные акты Российской Федерации:</w:t>
      </w:r>
    </w:p>
    <w:p>
      <w:r>
        <w:rPr>
          <w:b/>
        </w:rPr>
        <w:t xml:space="preserve">1. </w:t>
      </w:r>
      <w:r>
        <w:t>В статье 12 Закона Российской Федерации "Об учреждениях и органах, исполняющих уголовные наказания в виде лишения свободы" (Ведомости Съезда народных депутатов Российской Федерации и Верховного Совета Российской Федерации, 1993, № 33, ст. 1316): часть первую изложить в следующей редакции: "Охрана объектов уголовно-исполнительной системы, предназначенных для содержания и труда осужденных, и других объектов уголовно-исполнительной системы осуществляется специальными подразделениями уголовно-исполнительной системы, создаваемыми для этих целей при учреждениях, исполняющих наказания."; в части второй: слова "внутренними войсками Министерства внутренних дел Российской Федерации," исключить; дополнить часть предложением следующего содержания: "Конвоирование осужденных и лиц, заключенных под стражу, по плановым маршрутам, установленным соответствующим перечнем, а также конвоирование подсудимых на судебные заседания Верховного Суда Российской Федерации осуществляется внутренними войсками Министерства внутренних дел Российской Федерации."; (Абзац утратил силу - Федеральный закон от 05.04.2013 № 37-ФЗ)</w:t>
      </w:r>
    </w:p>
    <w:p>
      <w:r>
        <w:rPr>
          <w:b/>
        </w:rPr>
        <w:t xml:space="preserve">2. </w:t>
      </w:r>
      <w:r>
        <w:t>(Утратил силу - Федеральный закон от 28.06.2009 № 126-ФЗ)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