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налоге на игорный бизнес</w:t>
      </w:r>
    </w:p>
    <w:p>
      <w:r>
        <w:rPr>
          <w:b/>
        </w:rPr>
        <w:t>Статья 4-1. Налоговый период</w:t>
      </w:r>
    </w:p>
    <w:p>
      <w:r>
        <w:t>Налоговый период устанавливается как календарный месяц. (Статья дополнена - Федеральный закон от 12.02.2001 г. N 8-ФЗ ) С т а т ь я 5. Ставки налога 1. Ставка налога на каждый объект налогообложения устанавливается в размере, кратном установленному федеральным законом минимальному размеру оплаты труда.</w:t>
      </w:r>
    </w:p>
    <w:p>
      <w:r>
        <w:rPr>
          <w:b/>
        </w:rPr>
        <w:t xml:space="preserve">2. </w:t>
      </w:r>
      <w:r>
        <w:t>Минимальный размер ставок налога в месяц составляет: за каждый игровой стол - 200 минимальных размеров оплаты труда; за каждый игровой автомат - 7,5 минимального размера оплаты труда; за каждую кассу тотализатора - 200 минимальных размеров оплаты труда; за каждую кассу букмекерской конторы - 100 минимальных размеров оплаты труда. (Пункт в редакции Федерального закона от 12.02.2001 г. N 8-ФЗ )</w:t>
      </w:r>
    </w:p>
    <w:p>
      <w:r>
        <w:rPr>
          <w:b/>
        </w:rPr>
        <w:t xml:space="preserve">3. </w:t>
      </w:r>
      <w:r>
        <w:t>Конкретные единые размеры ставок налога для всех игорных заведений, находящихся на территориях субъектов Российской Федерации, превышающие минимальные размеры ставок налога, установленные пунктом 2 настоящей статьи, определяются законодательными (представительными) органами субъектов Российской Федерации</w:t>
      </w:r>
    </w:p>
    <w:p>
      <w:r>
        <w:rPr>
          <w:b/>
        </w:rPr>
        <w:t xml:space="preserve">4. </w:t>
      </w:r>
      <w:r>
        <w:t>При отсутствии нормативного акта субъекта Российской Федерации, определяющего конкретные размеры ставок налога, для его исчисления и уплаты применяются минимальные размеры ставок налога, установленные пунктом 2 настоящей статьи</w:t>
      </w:r>
    </w:p>
    <w:p>
      <w:r>
        <w:rPr>
          <w:b/>
        </w:rPr>
        <w:t xml:space="preserve">5. </w:t>
      </w:r>
      <w:r>
        <w:t>Ставка налога в месяц на каждый объект налогообложения сверх указанного количества уменьшается на 20 процентов, если в игорном заведении общее количество объектов налогообложения каждого вида объектов игорного бизнеса будет: (В редакции Федерального закона от 12.02.2001 г. N 8-ФЗ ) игровых столов - более 30; игровых автоматов - более 40</w:t>
      </w:r>
    </w:p>
    <w:p>
      <w:r>
        <w:rPr>
          <w:b/>
        </w:rPr>
        <w:t xml:space="preserve">6. </w:t>
      </w:r>
      <w:r>
        <w:t>Вводить индивидуальные ставки налога для отдельных категорий плательщиков налога запрещается. С т а т ь я 6. Порядок исчисления и уплаты сумм налога 1. Суммы налога, подлежащие внесению в федеральный бюджет и бюджеты субъектов Российской Федерации, определяются плательщиком налога самостоятельно исходя из количества зарегистрированных объектов налогообложения и ставок налога</w:t>
      </w:r>
    </w:p>
    <w:p>
      <w:r>
        <w:rPr>
          <w:b/>
        </w:rPr>
        <w:t xml:space="preserve">2. </w:t>
      </w:r>
      <w:r>
        <w:t>Расчет сумм налога за истекший налоговый период с учетом изменения количества и (или) видов объектов налогообложения представляется плательщиком налога в налоговый орган по месту регистрации объектов налогообложения ежемесячно не позднее 20-го числа месяца, следующего за истекшим налоговым периодом. (В редакции Федерального закона от 12.02.2001 г. N 8-ФЗ )</w:t>
      </w:r>
    </w:p>
    <w:p>
      <w:r>
        <w:rPr>
          <w:b/>
        </w:rPr>
        <w:t xml:space="preserve">3. </w:t>
      </w:r>
      <w:r>
        <w:t>Уплата сумм налога в федеральный бюджет и бюджеты субъектов Российской Федерации производится плательщиком налога в течение 5 рабочих дней со дня представления расчета сумм налога в налоговый орган по месту регистрации объектов налогообложения с учетом изменения количества и (или) видов объектов налогообложения. Уплата сумм налога производится по единой ставке, установленной в соответствии с пунктом 3 статьи 5 настоящего Федерального закона, на территории субъекта Российской Федерации, где зарегистрирован данный объект налогообложения. (В редакции Федерального закона от 12.02.2001 г. N 8-ФЗ )</w:t>
      </w:r>
    </w:p>
    <w:p>
      <w:r>
        <w:rPr>
          <w:b/>
        </w:rPr>
        <w:t xml:space="preserve">4. </w:t>
      </w:r>
      <w:r>
        <w:t>При осуществлении игорным заведением других видов деятельности, не относящихся к игорному бизнесу, указанное заведение обязано вести раздельный учет доходов от этих видов предпринимательской деятельности и уплачивать обязательные платежи по этим видам предпринимательской деятельности в соответствии с законодательством Российской Федерации</w:t>
      </w:r>
    </w:p>
    <w:p>
      <w:r>
        <w:rPr>
          <w:b/>
        </w:rPr>
        <w:t xml:space="preserve">5. </w:t>
      </w:r>
      <w:r>
        <w:t>При установке нового объекта налогообложения до 15-го числа текущего месяца сумма налога исчисляется за полный текущий месяц, после 15-го числа - за половину текущего месяца</w:t>
      </w:r>
    </w:p>
    <w:p>
      <w:r>
        <w:rPr>
          <w:b/>
        </w:rPr>
        <w:t xml:space="preserve">6. </w:t>
      </w:r>
      <w:r>
        <w:t>При выбытии объекта налогообложения до 15-го числа текущего месяца сумма налога исчисляется за половину текущего месяца, после 15-го числа - за полный текущий месяц, при этом объект налогообложения считается выбывшим по истечении 10 дней с даты подачи соответствующего заявления в налоговый орган . (В редакции Федерального закона от 12.02.2001 г. N 8-ФЗ )</w:t>
      </w:r>
    </w:p>
    <w:p>
      <w:r>
        <w:rPr>
          <w:b/>
        </w:rPr>
        <w:t xml:space="preserve">7. </w:t>
      </w:r>
      <w:r>
        <w:t>Сумма налога включается в состав расходов, связанных с осуществлением данного вида предпринимательской деятельности. С т а т ь я 7. Распределение средств от налога 1. Суммы налога в части, соответствующей минимальному размеру ставки налога, зачисляются в федеральный бюджет</w:t>
      </w:r>
    </w:p>
    <w:p>
      <w:r>
        <w:rPr>
          <w:b/>
        </w:rPr>
        <w:t xml:space="preserve">2. </w:t>
      </w:r>
      <w:r>
        <w:t>Суммы налога в части, соответствующей превышению над минимальным размером ставки налога, зачисляются в бюджеты субъектов Российской Федерации, на территориях которых находятся игорные заведения. С т а т ь я 8. Ответственность плательщиков налога Ответственность плательщиков налога, а также осуществление контроля налоговыми органами за соблюдением положений настоящего Федерального закона наряду с мерами, предусмотренными настоящим Федеральным законом, регулируются актами законодательства Российской Федерации о налогах и сборах . (В редакции Федерального закона от 12.02.2001 г. N 8-ФЗ ) С т а т ь я 9. Разработка подзаконных актов Инструкции по применению настоящего Федерального закона издаются Государственной налоговой службой Российской Федерации по согласованию с Министерством финансов Российской Федерации. С т а т ь я 10. Вступление в силу настоящего Федерального закона 1. 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