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4 Федерального закона "О внесении изменений и дополнений в отдельные законы Российской Федерации о налогах"</w:t>
      </w:r>
    </w:p>
    <w:p>
      <w:r>
        <w:rPr>
          <w:b/>
        </w:rPr>
        <w:t>Статья 1. Статью 4 Федерального закона "О внесении изменений и дополнений в отдельные законы Российской Федерации о налогах" (Собрание законодательства Российской Федерации, 1995, № 49, ст. 4695) изложить в следующей редакции:</w:t>
      </w:r>
    </w:p>
    <w:p>
      <w:r>
        <w:t>"Статья 4. Настоящий Федеральный закон вступает в силу с 1 января 1996 года и утрачивает силу с 1 января 2002 года.".</w:t>
      </w:r>
    </w:p>
    <w:p>
      <w:r>
        <w:rPr>
          <w:b/>
        </w:rPr>
        <w:t>Статья 2.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