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налоге на прибыль предприятий и организаций"</w:t>
      </w:r>
    </w:p>
    <w:p>
      <w:r>
        <w:rPr>
          <w:b/>
        </w:rPr>
        <w:t>Статья 1. Внести в Закон Российской Федерации "О налоге на прибыль предприятий и организаций" (Ведомости Съезда народных депутатов Российской Федерации и Верховного Совета Российской Федерации, 1992, N 11, ст. 525; N 34, ст. 1976; 1993, N 4, ст. 118; Собрание законодательства Российской Федерации, 1994, N 27, ст. 2823; N 32, ст. 3304; 1995, N 18, ст. 1592; N 26, ст. 2402, 2403; N 49, ст. 4695; 1996, N 1, ст. 4, ст. 20; N 51, ст. 5682; 1997, N 3, ст. 357; N 26, ст. 2953; 1998, N 31, ст. 3819, 3821, 3825; 1999, N 1, ст. 1, N 2, ст. 237; N 7, ст. 879; Российская газета, 1999, 5 марта, N 43) следующие изменения и дополнения:</w:t>
      </w:r>
    </w:p>
    <w:p>
      <w:r>
        <w:rPr>
          <w:b/>
        </w:rPr>
        <w:t xml:space="preserve">1. </w:t>
      </w:r>
      <w:r>
        <w:t>В статье 2</w:t>
      </w:r>
    </w:p>
    <w:p>
      <w:r>
        <w:rPr>
          <w:b/>
        </w:rPr>
        <w:t xml:space="preserve">2. </w:t>
      </w:r>
      <w:r>
        <w:t>Статью 5 изложить в следующей редакции: "Статья 5. Ставка налога на прибыль предприятий и организаций, зачисляемого в федеральный бюджет, устанавливается в размере 11 процентов. В бюджеты субъектов Российской Федерации зачисляется налог на прибыль предприятий и организаций (в том числе иностранных юридических лиц) по ставкам, устанавливаемым законодательными (представительными) органами субъектов Российской Федерации, в размере не свыше 19 процентов, а для предприятий по прибыли, полученной от посреднических операций и сделок, страховщиков, бирж, брокерских контор, банков, других кредитных организаций, - по ставкам в размере не свыше 27 процентов."</w:t>
      </w:r>
    </w:p>
    <w:p>
      <w:r>
        <w:rPr>
          <w:b/>
        </w:rPr>
        <w:t xml:space="preserve">3. </w:t>
      </w:r>
      <w:r>
        <w:t>В статье 6</w:t>
      </w:r>
    </w:p>
    <w:p>
      <w:r>
        <w:rPr>
          <w:b/>
        </w:rPr>
        <w:t xml:space="preserve">4. </w:t>
      </w:r>
      <w:r>
        <w:t>В абзаце втором подпункта "а" пункта 1 статьи 9: после слов "выкупом (погашением)" дополнить словами ", в том числе новацией,"; слова "номинальной стоимостью и балансовой стоимостью" заменить словами "ценой погашения и ценой приобретения"; после слов "при условии реинвестирования полученных" изложить в следующей редакции: "средств от их погашения (новации) во вновь выпускаемые государственные ценные бумаги."</w:t>
      </w:r>
    </w:p>
    <w:p>
      <w:r>
        <w:rPr>
          <w:b/>
        </w:rPr>
        <w:t xml:space="preserve">1. </w:t>
      </w:r>
      <w:r>
        <w:t>в пункте 4: в абзаце седьмом: после слов "прибыль, полученная в связи с выкупом (погашением)" дополнить словами ", в том числе новацией,", после слов ", при условии реинвестирования" изложить в следующей редакции: "полученных средств от их погашения (новации) во вновь выпускаемые государственные ценные бумаги."; дополнить предложением следующего содержания: "Не включаются в налогооблагаемую базу денежные средства, выплачиваемые при выкупе (погашении), в том числе новации, владельцам указанных ценных бумаг в качестве частичного возврата государством предприятию его затрат на приобретение ГКО и ОФЗ."; абзац восьмой изложить в следующей редакции: "При реализации первичными владельцами государственных ценных бумаг, полученных в результате реинвестирования, прибыль (убыток) определяется как разница между ценой реализации и их оплаченной стоимостью с учетом затрат, связанных с реализацией. Под оплаченной стоимостью государственных ценных бумаг, полученных в результате реинвестирования (новации), признается стоимость, равная фактическим затратам инвестора на приобретение ГКО и ОФЗ, погашаемых в результате выкупа или новации, уменьшенным на сумму денежных средств, полученных при реструктуризации (новации). Оплаченная стоимость одной государственной ценной бумаги, полученной в результате реструктуризации (новации), определяется как оплаченная стоимость всех полученных государственных ценных бумаг, деленная на их количество. При исчислении первичными владельцами дохода по государственным ценным бумагам, полученным в результате реинвестирования (новации), при их погашении, в том числе при направлении облигаций федерального займа с постоянным купонным доходом (ОФЗ-ПД) на погашение просроченной задолженности по налогам, штрафам и пеням в федеральный бюджет, дополнительно из цены погашения (номинальной стоимости погашаемых ценных бумаг) исключаются часть процентного дохода, подлежавшего выплате по ОФЗ, и разница между ценой погашения и ценой приобретения по ГКО, включенные в номинальную стоимость государственных ценных бумаг, полученных в результате реструктуризации (новации), приходящиеся на одну ценную бумагу, полученную в результате реструктуризации (новации)."</w:t>
      </w:r>
    </w:p>
    <w:p>
      <w:r>
        <w:rPr>
          <w:b/>
        </w:rPr>
        <w:t xml:space="preserve">1. </w:t>
      </w:r>
      <w:r>
        <w:t>пункт 6 дополнить абзацами следующего содержания: "безвозмездно полученные предприятиями денежные средства от иностранных инвесторов на финансирование капитальных вложений производственного назначения при условии использования их в течение одного года с момента получения. При нецелевом использовании полученных средств или в случае их неиспользования в течение одного года с момента получения они подлежат налогообложению в составе внереализационных доходов в том отчетном периоде, в котором осуществлено нецелевое расходование этих средств или истек срок их использования по целевому назначению; средства, полученные российской организацией от акционеров (учредителей, участников) на погашение убытка, образовавшегося по данным годового бухгалтерского отчета за 1998 год, и направленные на указанные цели."</w:t>
      </w:r>
    </w:p>
    <w:p>
      <w:r>
        <w:rPr>
          <w:b/>
        </w:rPr>
        <w:t xml:space="preserve">3. </w:t>
      </w:r>
      <w:r>
        <w:t>в пункте 1: дополнить пункт новым подпунктом "д" следующего содержания: "д) направленные научными организациями, прошедшими государственную аккредитацию, непосредственно на проведение и развитие научно-исследовательских и опытно-конструкторских работ в порядке и по перечню, которые устанавливаются Правительством Российской Федерации;"; подпункты "д" - "к" считать соответственно подпунктами "е" - "л"</w:t>
      </w:r>
    </w:p>
    <w:p>
      <w:r>
        <w:rPr>
          <w:b/>
        </w:rPr>
        <w:t xml:space="preserve">3. </w:t>
      </w:r>
      <w:r>
        <w:t>в пункте 5: абзац первый после слов "бухгалтерского отчета" дополнить словами "(за исключением убытков, полученных по операциям с ценными бумагами)"; дополнить пункт абзацем следующего содержания: "Первичные участники рынка ценных бумаг, получившие убыток при реструктуризации (новации) ГКО и ОФЗ, а также при реализации государственных ценных бумаг, полученных в результате реструктуризации (новации), вправе направлять на погашение этого убытка доходы от реализации ценных бумаг, как обращающихся, так и не обращающихся на организованном рынке ценных бумаг."</w:t>
      </w:r>
    </w:p>
    <w:p>
      <w:r>
        <w:rPr>
          <w:b/>
        </w:rPr>
        <w:t xml:space="preserve">3. </w:t>
      </w:r>
      <w:r>
        <w:t>пункт 6 дополнить абзацем следующего содержания: "полученная от вновь созданного производства (за исключением производств, созданных в рамках торговой, снабженческо-сбытовой и посреднической деятельности организаций), на период его окупаемости, но не свыше трех лет. Вновь созданным производством признается производство, выделенное в обособленное структурное подразделение на базе новых (приобретенных или сооруженных) производственных мощностей, стоимость которых превышает 20 млн. рублей, при наличии технико-экономического обоснования, согласованного с государственными органами исполнительной власти субъектов Российской Федерации. Не признается вновь созданным производством производство, организованное на базе производственных мощностей, приобретенных как имущественный комплекс."</w:t>
      </w:r>
    </w:p>
    <w:p>
      <w:r>
        <w:rPr>
          <w:b/>
        </w:rPr>
        <w:t xml:space="preserve">3. </w:t>
      </w:r>
      <w:r>
        <w:t>пункт 7 изложить в следующей редакции: "7. Налоговые льготы, установленные пунктами 1 (за исключением подпунктов "г", "д" и "е") и 5 настоящей статьи, в совокупности не должны уменьшать фактическую сумму налога, исчисленную без учета данных налоговых льгот, более чем на 50 процентов."</w:t>
      </w:r>
    </w:p>
    <w:p>
      <w:r>
        <w:rPr>
          <w:b/>
        </w:rPr>
        <w:t xml:space="preserve">3. </w:t>
      </w:r>
      <w:r>
        <w:t>пункт 9 изложить в следующей редакции: "9. Органы государственной власти субъектов Российской Федерации могут предоставлять льготы по налогу исключительно в порядке и на условиях, которые предусмотрены частью первой Налогового кодекса Российской Федерации."</w:t>
      </w:r>
    </w:p>
    <w:p>
      <w:r>
        <w:rPr>
          <w:b/>
        </w:rPr>
        <w:t>Статья 2. Настоящий Федеральный закон вступает в силу с 1 апреля 1999 года.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