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отдельные законодательные акты Российской Федерации о налогах</w:t>
      </w:r>
    </w:p>
    <w:p>
      <w:r>
        <w:rPr>
          <w:b/>
        </w:rPr>
        <w:t>Статья 1. Внести изменения и дополнения в следующие законодательные акты Российской Федерации о налогах:</w:t>
      </w:r>
    </w:p>
    <w:p>
      <w:r>
        <w:rPr>
          <w:b/>
        </w:rPr>
        <w:t xml:space="preserve">1. </w:t>
      </w:r>
      <w:r>
        <w:t>(Утратил силу - Федеральный закон от 06.08.2001 № 110-ФЗ)</w:t>
      </w:r>
    </w:p>
    <w:p>
      <w:r>
        <w:rPr>
          <w:b/>
        </w:rPr>
        <w:t xml:space="preserve">2. </w:t>
      </w:r>
      <w:r>
        <w:t>(Утратил силу - Федеральный закон от 05.08.2000 № 118-ФЗ)</w:t>
      </w:r>
    </w:p>
    <w:p>
      <w:r>
        <w:rPr>
          <w:b/>
        </w:rPr>
        <w:t>Статья 2. Настоящий Федеральный закон вступает в силу с 1 апреля 1999 года.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