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дополнений в статью 19 Закона Российской Федерации "Об основах налоговой системы в Российской Федерации"</w:t>
      </w:r>
    </w:p>
    <w:p>
      <w:r>
        <w:rPr>
          <w:b/>
        </w:rPr>
        <w:t>Статья 1. Внести в статью 19 Закона Российской Федерации "Об основах налоговой системы в Российской Федерации" (Ведомости Съезда народных депутатов Российской Федерации и Верховного Совета Российской Федерации, 1992, N 11, ст. 527; N 34, ст. 1976; 1993, N 4, ст. 118; Собрание законодательства Российской Федерации, 1994, N 10, ст. 1108; 1997, N 30, ст. 3593; 1998, N 31, ст. 3816, 3827, 3828; N 43, ст. 5213; 1999, N 7, ст. 879; Российская газета, 1999, 19 июня, N 115) следующие дополнения:</w:t>
      </w:r>
    </w:p>
    <w:p>
      <w:r>
        <w:t>пункт 1 дополнить подпунктом "ц" следующего содержания: "ц) налог на отдельные виды транспортных средств."; в пункте 2 слова "в подпунктах "а"-"ж", "р" и "у" заменить словами "в подпунктах "а"-"ж", "р", "у" и "ц".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