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Гражданский кодекс Российской Федерации</w:t>
      </w:r>
    </w:p>
    <w:p>
      <w:r>
        <w:rPr>
          <w:b/>
        </w:rPr>
        <w:t>Статья 1. Внести в часть вторую Гражданского кодекса Российской Федерации (Собрание законодательства Российской Федерации, 1996, № 5, ст. 410) следующие изменения и дополнения:</w:t>
      </w:r>
    </w:p>
    <w:p>
      <w:r>
        <w:rPr>
          <w:b/>
        </w:rPr>
        <w:t xml:space="preserve">1. </w:t>
      </w:r>
      <w:r>
        <w:t>В пункте 4 статьи 469: в абзаце первом слова "в установленном законом" заменить словами "законом или в установленном им"; в абзаце втором слова "установленными в предусмотренном законом" заменить словами "предусмотренными законом или в установленном им"</w:t>
      </w:r>
    </w:p>
    <w:p>
      <w:r>
        <w:rPr>
          <w:b/>
        </w:rPr>
        <w:t xml:space="preserve">2. </w:t>
      </w:r>
      <w:r>
        <w:t>В статье 472: пункт 1 изложить в следующей редакции: "1.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 пункт 2 дополнить словами ", если иное не предусмотрено договором"</w:t>
      </w:r>
    </w:p>
    <w:p>
      <w:r>
        <w:rPr>
          <w:b/>
        </w:rPr>
        <w:t xml:space="preserve">3. </w:t>
      </w:r>
      <w:r>
        <w:t>Пункт 3 статьи 708 дополнить словами ", а также иных установленных договором подряда сроков"</w:t>
      </w:r>
    </w:p>
    <w:p>
      <w:r>
        <w:rPr>
          <w:b/>
        </w:rPr>
        <w:t xml:space="preserve">4. </w:t>
      </w:r>
      <w:r>
        <w:t>Пункт 2 статьи 732 изложить в следующей редакции: "2. Если заказчику не предоставлена возможность незамедлительно получить в месте заключения договора бытового подряда информацию о работе, указанную в пункте 1 настоящей статьи, он вправе потребовать от подрядчика возмещения убытков, вызванных необоснованным уклонением от заключения договора (пункт 4 статьи 445). 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 Подрядчик, не предоставивший заказчику информации о работе, указанной в пункте 1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
        <w:rPr>
          <w:b/>
        </w:rPr>
        <w:t xml:space="preserve">5. </w:t>
      </w:r>
      <w:r>
        <w:t>В статье 737: пункты 1 и 2 изложить в следующей редакции: "1.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статье 723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
        <w:rPr>
          <w:b/>
        </w:rPr>
        <w:t xml:space="preserve">2. </w:t>
      </w:r>
      <w:r>
        <w:t>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 пункт 3 дополнить словами "либо отказаться от исполнения договора и потребовать возмещения причиненных убытков"</w:t>
      </w:r>
    </w:p>
    <w:p>
      <w:r>
        <w:rPr>
          <w:b/>
        </w:rPr>
        <w:t xml:space="preserve">6. </w:t>
      </w:r>
      <w:r>
        <w:t>В статье 1097: в пункте 1 слова "установленных сроков годности" заменить словами "установленного срока годности или срока службы", после слов "если срок годности" дополнить словами "или срок службы"; пункт 2 изложить в следующей редакции: "2. Независимо от времени причинения вред подлежит возмещению, если: в нарушение требований закона срок годности или срок службы не установлен; 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