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коэффициентах деноминации для месяцев, входящих в период с 1 марта по 31 декабря 1991 года</w:t>
      </w:r>
    </w:p>
    <w:p>
      <w:r>
        <w:rPr>
          <w:b/>
        </w:rPr>
        <w:t>Статья 1. Установленные настоящим Федеральным законом коэффициенты деноминации применяются в случаях и порядке, которые определены федеральными законами.</w:t>
      </w:r>
    </w:p>
    <w:p>
      <w:r>
        <w:t>Установленные настоящим Федеральным законом коэффициенты деноминации применяются в случаях и порядке, которые определены федеральными законами.</w:t>
      </w:r>
    </w:p>
    <w:p>
      <w:r>
        <w:rPr>
          <w:b/>
        </w:rPr>
        <w:t>Статья 2. Установить, что коэффициенты деноминации для месяцев, входящих в период с 1 марта по 31 декабря 1991 года, имеют следующие численные значения:</w:t>
      </w:r>
    </w:p>
    <w:p>
      <w:r>
        <w:t>для марта - 0,91; для апреля - 0,52; для мая - 0,51; для июня - 0,50; для июля - 0,50; для августа - 0,51; для сентября - 0,53; для октября - 0,52; для ноября - 0,49; для декабря - 0,43.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