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едином налоге на вмененный доход для определенных видов деятельности"</w:t>
      </w:r>
    </w:p>
    <w:p>
      <w:r>
        <w:rPr>
          <w:b/>
        </w:rPr>
        <w:t>Статья 1</w:t>
      </w:r>
    </w:p>
    <w:p>
      <w:r>
        <w:t>Внести в пункт 1 статьи 3 Федерального закона от 31 июля 1998 года № 148-ФЗ "О едином налоге на вмененный доход для определенных видов деятельности" (Собрание законодательства Российской Федерации, 1998, № 31, ст. 3826; 1999, № 14, ст. 1661) следующие изменения и дополнения: абзац первый после слов "(далее - организации) и" дополнить словом "(или)"; подпункт 8 изложить в следующей редакции: "8) розничная выездная (нестационарная) торговля горюче-смазочными материалами;"; дополнить подпунктом 81 следующего содержания: "81) розничная стационарная торговля горюче-смазочными материалами;"; дополнить подпунктом 13 следующего содержания: "13) изготовление и реализация предпринимателями игрушек и изделий народных художественных промыслов.".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единому налогу на вмененный доход для определенных видов деятельности.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