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индексации ставок земельного налога</w:t>
      </w:r>
    </w:p>
    <w:p>
      <w:r>
        <w:rPr>
          <w:b/>
        </w:rPr>
        <w:t>Статья 1. Установить, что ставки земельного налога и арендной платы, действующие в 2001 году, применяются в 2002 году для всех категорий земель с коэффициентом 2.</w:t>
      </w:r>
    </w:p>
    <w:p>
      <w:r>
        <w:t>Установить, что ставки земельного налога и арендной платы, действующие в 2001 году, применяются в 2002 году для всех категорий земель с коэффициентом 2.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