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страховых тарифах на обязательное социальное страхование от несчастных случаев на производстве и профессиональных заболеваний на 2002 год</w:t>
      </w:r>
    </w:p>
    <w:p>
      <w:r>
        <w:rPr>
          <w:b/>
        </w:rPr>
        <w:t>Статья 1. Установить, что в 2002 году страховые взносы на обязательное социальное страхование от несчастных случаев на производстве и профессиональных заболеваний уплачиваются страхователем в порядке и по тарифам, которые установлены Федеральным законом "О страховых тарифах на обязательное социальное страхование от несчастных случаев на производстве и профессиональных заболеваний на 2001 год".</w:t>
      </w:r>
    </w:p>
    <w:p>
      <w:r>
        <w:t>Установить, что в 2002 году страховые взносы на обязательное социальное страхование от несчастных случаев на производстве и профессиональных заболеваний уплачиваются страхователем в порядке и по тарифам, которые установлены Федеральным законом "О страховых тарифах на обязательное социальное страхование от несчастных случаев на производстве и профессиональных заболеваний на 2001 год".</w:t>
      </w:r>
    </w:p>
    <w:p>
      <w:r>
        <w:rPr>
          <w:b/>
        </w:rPr>
        <w:t>Статья 2. Разрешить Фонду социального страхования Российской Федерации в 2002 году направлять до 20 процентов сумм страховых взносов по обязательному социальному страхованию от несчастных случаев на производстве и профессиональных заболеваний, перечисленных указанному Фонду страхователями за 2001 год, на частичное финансирование предупредительных мер по сокращению производственного травматизма и профессиональных заболеваний работников этих страхователей, включая финансирование периодических медицинских осмотров и санаторно-курортного оздоровления работников, занятых на работах с вредными и опасными веществами и производственными факторами.</w:t>
      </w:r>
    </w:p>
    <w:p>
      <w:r>
        <w:t>Порядок и условия осуществления финансирования в 2002 году мероприятий, установленных частью первой настоящей статьи, определяются Правительством Российской Федерации в месячный срок со дня вступления в силу настоящего Федерального закона.</w:t>
      </w:r>
    </w:p>
    <w:p>
      <w:r>
        <w:rPr>
          <w:b/>
        </w:rPr>
        <w:t>Статья 3. Настоящий Федеральный закон вступает в силу со дня его официального опубликования.</w:t>
      </w:r>
    </w:p>
    <w:p>
      <w:r>
        <w:t>Действие настоящего Федерального закона распространяется на правоотношения, возникшие с 1 января 2002 года.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