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43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четвертый пункта 3 статьи 243 части второй Налогового кодекса Российской Федерации (Собрание законодательства Российской Федерации, 2000, № 32, ст. 3340; 2001, № 1, ст. 18; 2002, № 1, ст. 4) изменение, изложив его в следующей редакции: "В случае, если в отчетном (налоговом) периоде сумма примененного налогового вычета превышает сумму фактически уплаченного страхового взноса за тот же период, такая разница признается занижением суммы налога, подлежащего уплате, с 15-го числа месяца, следующего за месяцем, за который уплачены авансовые платежи по налогу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3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