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217 и 224 части второй Налогового кодекса Российской Федерации</w:t>
      </w:r>
    </w:p>
    <w:p>
      <w:r>
        <w:rPr>
          <w:b/>
        </w:rPr>
        <w:t>Статья 1. Внести в часть вторую Налогового кодекса Российской Федерации (Собрание законодательства Российской Федерации, 2000, № 32, ст. 3340; 2001, № 1, ст. 18; № 23, ст. 2289; № 33, ст. 3413; 2002, № 22, ст. 2026; № 30, ст. 3021) следующие изменения:</w:t>
      </w:r>
    </w:p>
    <w:p>
      <w:r>
        <w:rPr>
          <w:b/>
        </w:rPr>
        <w:t xml:space="preserve">1. </w:t>
      </w:r>
      <w:r>
        <w:t>(Утратил силу - Федеральный закон от 23.11.2015 № 320-ФЗ)</w:t>
      </w:r>
    </w:p>
    <w:p>
      <w:r>
        <w:rPr>
          <w:b/>
        </w:rPr>
        <w:t xml:space="preserve">2. </w:t>
      </w:r>
      <w:r>
        <w:t>Абзац четвертый пункта 2 статьи 224 изложить в следующей редакции: "процентных доходов по вкладам в банках в части превышения суммы, рассчитанной исходя из действующей ставки рефинансирования Центрального банка Российской Федерации, в течение периода, за который начислены проценты, по рублевым вкладам (за исключением срочных пенсионных вкладов, внесенных на срок не менее шести месяцев) и 9 процентов годовых по вкладам в иностранной валюте;"</w:t>
      </w:r>
    </w:p>
    <w:p>
      <w:r>
        <w:rPr>
          <w:b/>
        </w:rPr>
        <w:t>Статья 2. Настоящий Федеральный закон вступает в силу по истечении одного месяца со дня его официального опубликования.</w:t>
      </w:r>
    </w:p>
    <w:p>
      <w:r>
        <w:t>Настоящий Федеральный закон вступает в силу по истечении одного месяца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