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Федеральный закон "О внесении изменений в главу 26-1 части второй Налогового кодекса Российской Федерации и некоторые другие акты законодательства Российской Федерации"</w:t>
      </w:r>
    </w:p>
    <w:p>
      <w:r>
        <w:rPr>
          <w:b/>
        </w:rPr>
        <w:t>Статья 1</w:t>
      </w:r>
    </w:p>
    <w:p>
      <w:r>
        <w:t>(Утратила силу - Федеральный закон от 27.11.2017 № 335-ФЗ)</w:t>
      </w:r>
    </w:p>
    <w:p>
      <w:r>
        <w:rPr>
          <w:b/>
        </w:rPr>
        <w:t>Статья 2</w:t>
      </w:r>
    </w:p>
    <w:p>
      <w:r>
        <w:t>Продлить срок подачи заявлений в налоговый орган организациями, крестьянскими (фермерскими) хозяйствами и индивидуальными предпринимателями, установленный статьей 2 Федерального закона от 11 ноября 2003 года № 147-ФЗ "О внесении изменений в главу 261 части второй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2003, № 46, ст. 4443), до 1 июня 2004 года.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возникшие с 1 января 2004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