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социальных последствиях новых методов обработки грузов в портах (Конвенции № 137)</w:t>
      </w:r>
    </w:p>
    <w:p>
      <w:r>
        <w:rPr>
          <w:b/>
        </w:rPr>
        <w:t>Статья None. Федеральный закон   от 26.04.2004 № 27-ФЗ</w:t>
      </w:r>
    </w:p>
    <w:p>
      <w:r>
        <w:t>О ратификации Конвенции о социальных последствиях новых методов обработки грузов в портах (Конвенции № 137) РОССИЙСКАЯ ФЕДЕРАЦИЯ ФЕДЕРАЛЬНЫЙ ЗАКОН О ратификации Конвенции о социальных последствиях новых методов обработки грузов в портах (Конвенции № 137) Принят Государственной Думой 24 марта 2004 года Одобрен Советом Федерации 14 апреля 2004 года Ратифицировать Конвенцию о социальных последствиях новых методов обработки грузов в портах (Конвенцию № 137), принятую 58-й сессией Генеральной конференции Международной организации труда в городе Женеве 25 июня 1973 года. Президент Российской Федерации В.Путин Москва, Кремль 26 апреля 2004 года № 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