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Протокола о запрещении или ограничении применения мин, мин-ловушек и других устройств с поправками, внесенными 3 мая 1996 года (Протокола II с поправками, внесенными 3 мая 1996 года), прилагаемого к Конвенции о запрещении или ограничении применения конкретных видов обычного оружия, которые могут считаться наносящими чрезмерные повреждения или имеющими неизбирательное действие</w:t>
      </w:r>
    </w:p>
    <w:p>
      <w:r>
        <w:rPr>
          <w:b/>
        </w:rPr>
        <w:t>Статья None. Федеральный закон   от 07.12.2004 № 158-ФЗ</w:t>
      </w:r>
    </w:p>
    <w:p>
      <w:r>
        <w:t>О ратификации Протокола о запрещении или ограничении применения мин, мин-ловушек и других устройств с поправками, внесенными 3 мая 1996 года (Протокола II с поправками, внесенными 3 мая 1996 года), прилагаемого к Конвенции о запрещении или ограничении применения конкретных видов обычного оружия, которые могут считаться наносящими чрезмерные повреждения или имеющими неизбирательное действие РОССИЙСКАЯ ФЕДЕРАЦИЯ ФЕДЕРАЛЬНЫЙ ЗАКОН О ратификации Протокола о запрещении или ограничении применения мин, мин-ловушек и других устройств с поправками, внесенными 3 мая 1996 года (Протокола II с поправками, внесенными 3 мая 1996 года), прилагаемого к Конвенции о запрещении или ограничении применения конкретных видов обычного оружия, которые могут считаться наносящими чрезмерные повреждения или имеющими неизбирательное действие Принят Государственной Думой 23 ноября 2004 года Одобрен Советом Федерации 24 ноября 2004 года Ратифицировать Протокол о запрещении или ограничении применения мин, мин-ловушек и других устройств с поправками, внесенными 3 мая 1996 года (Протокол II с поправками, внесенными 3 мая 1996 года), прилагаемый к Конвенции о запрещении или ограничении применения конкретных видов обычного оружия, которые могут считаться наносящими чрезмерные повреждения или имеющими неизбирательное действие, принятый на Конференции государств - участников Конвенции в городе Женеве 3 мая 1996 года, со следующими заявлениями</w:t>
      </w:r>
    </w:p>
    <w:p>
      <w:r>
        <w:t>для целей толкования подпункта "c" пункта 10 статьи 3 Протокола II под альтернативными системами Российская Федерация понимает устройства и технологии нелетального действия, которые не являются противопехотными минами и могут на время вывести из строя, парализовать действия или обозначить присутствие одного или нескольких человек без нанесения им необратимого повреждения</w:t>
      </w:r>
    </w:p>
    <w:p>
      <w:r>
        <w:t>Российская Федерация при применении подпункта "a" пункта 2 статьи 5 Протокола II исходит из того, что противопехотные мины, не являющиеся дистанционно устанавливаемыми, будут устанавливаться в районах с промаркированным периметром, который подвергается наблюдению со стороны военного персонала и защищается ограждением или иными средствами с тем, чтобы обеспечить эффективное недопущение гражданских лиц в указанные районы. Такая маркировка должна быть отчетливой, устойчивой и должна по крайней мере быть видимой человеку, который намеревается проникнуть в район с промаркированным периметром. При этом в качестве маркировки (обозначения) части периметра заминированного района в пределах приграничной территории может рассматриваться обозначенная на местности линия государственной границы в случаях, когда имеют место активные и многократные попытки ее преодоления вооруженными нарушителями и когда военные, экономические, физико-географические и иные условия не позволяют применять вооруженные силы. Гражданское население будет своевременно информироваться о минной опасности и не допускаться в заминированный район</w:t>
      </w:r>
    </w:p>
    <w:p>
      <w:r>
        <w:t>для целей толкования подпункта "i" пункта 1 статьи 7 Протокола II под культурным и духовным наследием народов Российская Федерация понимает культурные ценности в смысле статьи 1 Конвенции о защите культурных ценностей в случае вооруженного конфликта 1954 года</w:t>
      </w:r>
    </w:p>
    <w:p>
      <w:r>
        <w:t>под общедоступными техническими средствами обнаружения мин, упомянутыми в подпункте "a" пункта 2 Технического приложения к Протоколу II, Российская Федерация понимает средства поиска мин, имеющиеся в Российской Федерации и удовлетворяющие требованиям упомянутого подпункта</w:t>
      </w:r>
    </w:p>
    <w:p>
      <w:r>
        <w:t>Российская Федерация в соответствии с подпунктом "c" пункта 2 и подпунктом "c" пункта 3 Технического приложения к Протоколу II обеспечит соблюдение подпункта "b" пункта 2 и подпунктов "a" и "b" пункта 3 Технического приложения к Протоколу II не позднее чем в девятилетний срок с даты вступления в силу данного Протокола. Президент Российской Федерации В.Путин Москва, Кремль 7 декабря 2004 года № 158-ФЗ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