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порядке формирования Совета Федерации Федерального Собрания Российской Федерации" и Федеральный закон "О статусе члена Совета Федерации и статусе депутата Государственной Думы Федерального Собрания Российской Федерации" и о признании утратившим силу пункта 12 статьи 1 Федерального закона "О внесении изменений и дополнений в Федеральный закон "О статусе члена Совета Федерации и статусе депутата Государственной Думы Федерального Собрания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03.12.2012 № 229-ФЗ)</w:t>
      </w:r>
    </w:p>
    <w:p>
      <w:r>
        <w:rPr>
          <w:b/>
        </w:rPr>
        <w:t>Статья 2</w:t>
      </w:r>
    </w:p>
    <w:p>
      <w:r>
        <w:t>Внести в Федеральный закон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2001, № 32, ст. 3317; 2004, № 25, ст. 2484) следующие изменения</w:t>
      </w:r>
    </w:p>
    <w:p>
      <w:r>
        <w:t>в статье 4: а) (Утратил силу - Федеральный закон от 03.12.2012 № 238-ФЗ) б) часть четвертую изложить в следующей редакции: "4. Решение о прекращении полномочий члена Совета Федерации по основаниям, предусмотренным частями первой и второй настоящей статьи, оформляется постановлением Совета Федерации, в котором определяется день прекращения полномочий члена Совета Федерации."</w:t>
      </w:r>
    </w:p>
    <w:p>
      <w:r>
        <w:t>статью 441 признать утратившей силу</w:t>
      </w:r>
    </w:p>
    <w:p>
      <w:r>
        <w:rPr>
          <w:b/>
        </w:rPr>
        <w:t>Статья 3</w:t>
      </w:r>
    </w:p>
    <w:p>
      <w:r>
        <w:t>Пункт 12 статьи 1 Федерального закона от 4 августа 2001 года № 109-ФЗ "О внесении изменений и дополнений в Федеральный закон "О статусе члена Совета Федерации и статусе депутата Государственной Думы Федерального Собрания Российской Федерации" (Собрание законодательства Российской Федерации, 2001, № 32, ст. 3317)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