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346-13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346-13 части второй Налогового кодекса Российской Федерации (Собрание законодательства Российской Федерации, 2000, N 32, ст. 3340; 2001, N 53, ст. 5023; 2002, N 30, ст. 3021; 2003, N 1, ст. 6) следующие изменения</w:t>
      </w:r>
    </w:p>
    <w:p>
      <w:r>
        <w:t>в пункте 2 слова "в текущем календарном году" исключить</w:t>
      </w:r>
    </w:p>
    <w:p>
      <w:r>
        <w:t>пункт 4 после слов "100 млн. рублей," дополнить словами "или налогоплательщик перестал отвечать требованиям, установленным подпунктами 14 и 15 пункта 3 статьи 346-12 настоящего Кодекса,"</w:t>
      </w:r>
    </w:p>
    <w:p>
      <w:r>
        <w:t>пункт 5 после слов "режим налогообложения" дополнить словами ", осуществленный в соответствии с пунктом 4 настоящей статьи,", слова ", в котором его доход превысил ограничения, установленные пунктом 4 настоящей статьи" исключить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единому налогу, уплачиваемому при применении упрощенной системы налогообложения.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