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223 части первой Гражданского кодекса Российской Федерации и Федеральный закон "О государственной регистрации прав на недвижимое имущество и сделок с ним"</w:t>
      </w:r>
    </w:p>
    <w:p>
      <w:r>
        <w:rPr>
          <w:b/>
        </w:rPr>
        <w:t>Статья 1</w:t>
      </w:r>
    </w:p>
    <w:p>
      <w:r>
        <w:t>Пункт 2 статьи 223 части первой Гражданского кодекса Российской Федерации (Собрание законодательства Российской Федерации, 1994, № 32, ст. 3301) дополнить абзацем следующего содержания: "Недвижимое имущество признается принадлежащим добросовестному приобретателю (пункт 1 статьи 302) на праве собственности с момента такой регистрации, за исключением предусмотренных статьей 302 настоящего Кодекса случаев, когда собственник вправе истребовать такое имущество от добросовестного приобретателя.".</w:t>
      </w:r>
    </w:p>
    <w:p>
      <w:r>
        <w:rPr>
          <w:b/>
        </w:rPr>
        <w:t>Статья 2</w:t>
      </w:r>
    </w:p>
    <w:p>
      <w:r>
        <w:t>(Утратила силу - Федеральный закон от 03.07.2016 № 361-ФЗ)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2005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