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346-26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34626 части второй Налогового кодекса Российской Федерации (Собрание законодательства Российской Федерации, 2000, № 32, ст. 3340; 2002, № 30, ст. 3021; 2003, № 1, ст. 6; № 28, ст. 2886; 2004, № 30, ст. 3083; № 31, ст. 3231) следующие изменения</w:t>
      </w:r>
    </w:p>
    <w:p>
      <w:r>
        <w:t>подпункт 1 пункта 2 дополнить словами ", их групп, подгрупп, видов и (или) отдельных бытовых услуг, классифицируемых в соответствии с Общероссийским классификатором услуг населению"</w:t>
      </w:r>
    </w:p>
    <w:p>
      <w:r>
        <w:t>подпункт 2 пункта 3 дополнить абзацем следующего содержания: "При введении единого налога в отношении предпринимательской деятельности по оказанию бытовых услуг может быть определен перечень их групп, подгрупп, видов и (или) отдельных бытовых услуг, подлежащих переводу на уплату единого налога;"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